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"/>
        <w:gridCol w:w="284"/>
        <w:gridCol w:w="1843"/>
        <w:gridCol w:w="425"/>
        <w:gridCol w:w="1701"/>
        <w:gridCol w:w="142"/>
        <w:gridCol w:w="211"/>
        <w:gridCol w:w="4961"/>
      </w:tblGrid>
      <w:tr w:rsidR="001B3258" w:rsidTr="008B62D2">
        <w:tc>
          <w:tcPr>
            <w:tcW w:w="76" w:type="dxa"/>
            <w:shd w:val="clear" w:color="auto" w:fill="auto"/>
          </w:tcPr>
          <w:p w:rsidR="001B3258" w:rsidRDefault="001B3258" w:rsidP="008B62D2">
            <w:pPr>
              <w:pStyle w:val="a4"/>
            </w:pPr>
          </w:p>
        </w:tc>
        <w:tc>
          <w:tcPr>
            <w:tcW w:w="4395" w:type="dxa"/>
            <w:gridSpan w:val="5"/>
            <w:shd w:val="clear" w:color="auto" w:fill="auto"/>
          </w:tcPr>
          <w:p w:rsidR="001B3258" w:rsidRDefault="001B3258" w:rsidP="008B62D2">
            <w:pPr>
              <w:pStyle w:val="FR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1B3258" w:rsidRDefault="001B3258" w:rsidP="008B62D2">
            <w:pPr>
              <w:pStyle w:val="FR1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СОВЕТ  ДЕПУТАТОВ</w:t>
            </w:r>
            <w:proofErr w:type="gramEnd"/>
          </w:p>
          <w:p w:rsidR="001B3258" w:rsidRDefault="001B3258" w:rsidP="008B62D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МУНИЦИПАЛЬНОГО ОБРАЗОВАНИЯ</w:t>
            </w:r>
          </w:p>
          <w:p w:rsidR="001B3258" w:rsidRDefault="001B3258" w:rsidP="008B62D2">
            <w:pPr>
              <w:pStyle w:val="FR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БОЛДЫРЕВСКИЙ СЕЛЬСОВЕТ</w:t>
            </w:r>
          </w:p>
          <w:p w:rsidR="001B3258" w:rsidRDefault="001B3258" w:rsidP="008B62D2">
            <w:pPr>
              <w:pStyle w:val="FR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ТАШЛИНСКОГО РАЙОНА ОРЕНБУРГСКОЙ ОБЛАСТИ</w:t>
            </w:r>
          </w:p>
          <w:p w:rsidR="001B3258" w:rsidRDefault="001B3258" w:rsidP="008B62D2">
            <w:pPr>
              <w:pStyle w:val="FR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72" w:type="dxa"/>
            <w:gridSpan w:val="2"/>
            <w:shd w:val="clear" w:color="auto" w:fill="auto"/>
          </w:tcPr>
          <w:p w:rsidR="001B3258" w:rsidRDefault="001B3258" w:rsidP="008B62D2">
            <w:pPr>
              <w:snapToGrid w:val="0"/>
              <w:rPr>
                <w:sz w:val="20"/>
                <w:szCs w:val="20"/>
              </w:rPr>
            </w:pPr>
          </w:p>
          <w:p w:rsidR="001B3258" w:rsidRPr="00F012D9" w:rsidRDefault="001B3258" w:rsidP="008B62D2">
            <w:pPr>
              <w:tabs>
                <w:tab w:val="left" w:pos="2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1B3258" w:rsidTr="008B62D2">
        <w:trPr>
          <w:trHeight w:val="377"/>
        </w:trPr>
        <w:tc>
          <w:tcPr>
            <w:tcW w:w="76" w:type="dxa"/>
            <w:shd w:val="clear" w:color="auto" w:fill="auto"/>
          </w:tcPr>
          <w:p w:rsidR="001B3258" w:rsidRDefault="001B3258" w:rsidP="008B62D2">
            <w:pPr>
              <w:pStyle w:val="a3"/>
            </w:pPr>
          </w:p>
        </w:tc>
        <w:tc>
          <w:tcPr>
            <w:tcW w:w="4395" w:type="dxa"/>
            <w:gridSpan w:val="5"/>
            <w:shd w:val="clear" w:color="auto" w:fill="auto"/>
          </w:tcPr>
          <w:p w:rsidR="001B3258" w:rsidRDefault="001B3258" w:rsidP="008B62D2">
            <w:pPr>
              <w:pStyle w:val="FR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РЕШЕНИЕ</w:t>
            </w:r>
          </w:p>
        </w:tc>
        <w:tc>
          <w:tcPr>
            <w:tcW w:w="5172" w:type="dxa"/>
            <w:gridSpan w:val="2"/>
            <w:shd w:val="clear" w:color="auto" w:fill="auto"/>
          </w:tcPr>
          <w:p w:rsidR="001B3258" w:rsidRDefault="001B3258" w:rsidP="008B62D2">
            <w:pPr>
              <w:snapToGrid w:val="0"/>
              <w:rPr>
                <w:sz w:val="20"/>
                <w:szCs w:val="20"/>
              </w:rPr>
            </w:pPr>
          </w:p>
        </w:tc>
      </w:tr>
      <w:tr w:rsidR="001B3258" w:rsidTr="008B62D2">
        <w:tc>
          <w:tcPr>
            <w:tcW w:w="76" w:type="dxa"/>
            <w:shd w:val="clear" w:color="auto" w:fill="auto"/>
          </w:tcPr>
          <w:p w:rsidR="001B3258" w:rsidRDefault="001B3258" w:rsidP="008B62D2">
            <w:pPr>
              <w:pStyle w:val="a3"/>
            </w:pPr>
          </w:p>
        </w:tc>
        <w:tc>
          <w:tcPr>
            <w:tcW w:w="212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B3258" w:rsidRDefault="001B3258" w:rsidP="008B62D2">
            <w:pPr>
              <w:pStyle w:val="FR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16.12.2022 г.</w:t>
            </w:r>
          </w:p>
        </w:tc>
        <w:tc>
          <w:tcPr>
            <w:tcW w:w="425" w:type="dxa"/>
            <w:shd w:val="clear" w:color="auto" w:fill="auto"/>
          </w:tcPr>
          <w:p w:rsidR="001B3258" w:rsidRDefault="001B3258" w:rsidP="008B62D2">
            <w:pPr>
              <w:pStyle w:val="FR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B3258" w:rsidRPr="00BF2815" w:rsidRDefault="001B3258" w:rsidP="008B62D2">
            <w:pPr>
              <w:pStyle w:val="FR1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F2815">
              <w:rPr>
                <w:rFonts w:ascii="Times New Roman" w:hAnsi="Times New Roman" w:cs="Times New Roman"/>
                <w:sz w:val="28"/>
                <w:szCs w:val="28"/>
              </w:rPr>
              <w:t xml:space="preserve">18/61-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  <w:proofErr w:type="spellEnd"/>
          </w:p>
        </w:tc>
        <w:tc>
          <w:tcPr>
            <w:tcW w:w="5172" w:type="dxa"/>
            <w:gridSpan w:val="2"/>
            <w:shd w:val="clear" w:color="auto" w:fill="auto"/>
          </w:tcPr>
          <w:p w:rsidR="001B3258" w:rsidRDefault="001B3258" w:rsidP="008B62D2">
            <w:pPr>
              <w:snapToGrid w:val="0"/>
              <w:rPr>
                <w:sz w:val="20"/>
                <w:szCs w:val="20"/>
              </w:rPr>
            </w:pPr>
          </w:p>
        </w:tc>
      </w:tr>
      <w:tr w:rsidR="001B3258" w:rsidTr="008B62D2">
        <w:tc>
          <w:tcPr>
            <w:tcW w:w="76" w:type="dxa"/>
            <w:shd w:val="clear" w:color="auto" w:fill="auto"/>
          </w:tcPr>
          <w:p w:rsidR="001B3258" w:rsidRDefault="001B3258" w:rsidP="008B62D2">
            <w:pPr>
              <w:pStyle w:val="a3"/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1B3258" w:rsidRDefault="001B3258" w:rsidP="008B62D2">
            <w:pPr>
              <w:pStyle w:val="FR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1B3258" w:rsidRDefault="001B3258" w:rsidP="008B62D2">
            <w:pPr>
              <w:pStyle w:val="FR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B3258" w:rsidRDefault="001B3258" w:rsidP="008B62D2">
            <w:pPr>
              <w:pStyle w:val="FR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2" w:type="dxa"/>
            <w:gridSpan w:val="2"/>
            <w:shd w:val="clear" w:color="auto" w:fill="auto"/>
          </w:tcPr>
          <w:p w:rsidR="001B3258" w:rsidRDefault="001B3258" w:rsidP="008B62D2">
            <w:pPr>
              <w:snapToGrid w:val="0"/>
              <w:rPr>
                <w:sz w:val="20"/>
                <w:szCs w:val="20"/>
              </w:rPr>
            </w:pPr>
          </w:p>
        </w:tc>
      </w:tr>
      <w:tr w:rsidR="001B3258" w:rsidTr="008B62D2">
        <w:tblPrEx>
          <w:tblCellMar>
            <w:left w:w="70" w:type="dxa"/>
            <w:right w:w="70" w:type="dxa"/>
          </w:tblCellMar>
        </w:tblPrEx>
        <w:trPr>
          <w:cantSplit/>
          <w:trHeight w:val="70"/>
        </w:trPr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B3258" w:rsidRDefault="001B3258" w:rsidP="008B62D2">
            <w:pPr>
              <w:autoSpaceDE w:val="0"/>
              <w:snapToGrid w:val="0"/>
              <w:jc w:val="both"/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B3258" w:rsidRDefault="001B3258" w:rsidP="008B62D2">
            <w:pPr>
              <w:autoSpaceDE w:val="0"/>
            </w:pPr>
            <w:r>
              <w:rPr>
                <w:sz w:val="28"/>
                <w:szCs w:val="28"/>
              </w:rPr>
              <w:t xml:space="preserve"> О бюджете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Болдыревский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Ташлинского</w:t>
            </w:r>
            <w:proofErr w:type="spellEnd"/>
            <w:r>
              <w:rPr>
                <w:sz w:val="28"/>
                <w:szCs w:val="28"/>
              </w:rPr>
              <w:t xml:space="preserve"> района Оренбургской области на 2023 год и плановый период 2024 и 2025 годов</w:t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1B3258" w:rsidRDefault="001B3258" w:rsidP="008B62D2">
            <w:pPr>
              <w:autoSpaceDE w:val="0"/>
              <w:snapToGrid w:val="0"/>
              <w:jc w:val="both"/>
            </w:pPr>
          </w:p>
        </w:tc>
        <w:tc>
          <w:tcPr>
            <w:tcW w:w="4961" w:type="dxa"/>
            <w:tcBorders>
              <w:left w:val="single" w:sz="4" w:space="0" w:color="000000"/>
            </w:tcBorders>
            <w:shd w:val="clear" w:color="auto" w:fill="auto"/>
          </w:tcPr>
          <w:p w:rsidR="001B3258" w:rsidRDefault="001B3258" w:rsidP="008B62D2">
            <w:pPr>
              <w:autoSpaceDE w:val="0"/>
              <w:snapToGrid w:val="0"/>
              <w:jc w:val="center"/>
            </w:pPr>
          </w:p>
        </w:tc>
      </w:tr>
      <w:tr w:rsidR="001B3258" w:rsidTr="008B62D2">
        <w:tblPrEx>
          <w:tblCellMar>
            <w:left w:w="70" w:type="dxa"/>
            <w:right w:w="70" w:type="dxa"/>
          </w:tblCellMar>
        </w:tblPrEx>
        <w:trPr>
          <w:cantSplit/>
          <w:trHeight w:val="138"/>
        </w:trPr>
        <w:tc>
          <w:tcPr>
            <w:tcW w:w="360" w:type="dxa"/>
            <w:gridSpan w:val="2"/>
            <w:shd w:val="clear" w:color="auto" w:fill="auto"/>
          </w:tcPr>
          <w:p w:rsidR="001B3258" w:rsidRDefault="001B3258" w:rsidP="008B62D2">
            <w:pPr>
              <w:autoSpaceDE w:val="0"/>
              <w:snapToGrid w:val="0"/>
              <w:jc w:val="both"/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B3258" w:rsidRDefault="001B3258" w:rsidP="008B62D2">
            <w:pPr>
              <w:autoSpaceDE w:val="0"/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3" w:type="dxa"/>
            <w:gridSpan w:val="2"/>
            <w:shd w:val="clear" w:color="auto" w:fill="auto"/>
          </w:tcPr>
          <w:p w:rsidR="001B3258" w:rsidRDefault="001B3258" w:rsidP="008B62D2">
            <w:pPr>
              <w:autoSpaceDE w:val="0"/>
              <w:snapToGrid w:val="0"/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1B3258" w:rsidRDefault="001B3258" w:rsidP="008B62D2">
            <w:pPr>
              <w:autoSpaceDE w:val="0"/>
              <w:snapToGrid w:val="0"/>
              <w:jc w:val="center"/>
            </w:pPr>
          </w:p>
        </w:tc>
      </w:tr>
    </w:tbl>
    <w:p w:rsidR="001B3258" w:rsidRDefault="001B3258" w:rsidP="001B3258"/>
    <w:p w:rsidR="001B3258" w:rsidRDefault="001B3258" w:rsidP="001B3258"/>
    <w:p w:rsidR="001B3258" w:rsidRDefault="001B3258" w:rsidP="001B3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Рассмотрев представленный администрацией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Ташлинского</w:t>
      </w:r>
      <w:proofErr w:type="spellEnd"/>
      <w:r>
        <w:rPr>
          <w:sz w:val="28"/>
          <w:szCs w:val="28"/>
        </w:rPr>
        <w:t xml:space="preserve"> района Оренбургской области проект бюджета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на 2023 год </w:t>
      </w:r>
      <w:proofErr w:type="gramStart"/>
      <w:r>
        <w:rPr>
          <w:sz w:val="28"/>
          <w:szCs w:val="28"/>
        </w:rPr>
        <w:t>и  на</w:t>
      </w:r>
      <w:proofErr w:type="gramEnd"/>
      <w:r>
        <w:rPr>
          <w:sz w:val="28"/>
          <w:szCs w:val="28"/>
        </w:rPr>
        <w:t xml:space="preserve"> плановый период 2024 и 2025 годов, Совет депутатов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Ташлинского</w:t>
      </w:r>
      <w:proofErr w:type="spellEnd"/>
      <w:r>
        <w:rPr>
          <w:sz w:val="28"/>
          <w:szCs w:val="28"/>
        </w:rPr>
        <w:t xml:space="preserve"> района Оренбургской области  РЕШИЛ: </w:t>
      </w:r>
    </w:p>
    <w:p w:rsidR="001B3258" w:rsidRDefault="001B3258" w:rsidP="001B3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Утвердить основные характеристики бюджета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на 2023 год:</w:t>
      </w:r>
    </w:p>
    <w:p w:rsidR="001B3258" w:rsidRDefault="001B3258" w:rsidP="001B3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1.1. прогнозируемый общий объем доходов бюджета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в сумме 13787,80 тыс. рублей;</w:t>
      </w:r>
    </w:p>
    <w:p w:rsidR="001B3258" w:rsidRDefault="001B3258" w:rsidP="001B3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1.2. общий объем расходов бюджета муниципального </w:t>
      </w:r>
      <w:proofErr w:type="gramStart"/>
      <w:r>
        <w:rPr>
          <w:sz w:val="28"/>
          <w:szCs w:val="28"/>
        </w:rPr>
        <w:t xml:space="preserve">образования  </w:t>
      </w:r>
      <w:proofErr w:type="spellStart"/>
      <w:r>
        <w:rPr>
          <w:sz w:val="28"/>
          <w:szCs w:val="28"/>
        </w:rPr>
        <w:t>Болдыревский</w:t>
      </w:r>
      <w:proofErr w:type="spellEnd"/>
      <w:proofErr w:type="gramEnd"/>
      <w:r>
        <w:rPr>
          <w:sz w:val="28"/>
          <w:szCs w:val="28"/>
        </w:rPr>
        <w:t xml:space="preserve">  сельсовет в сумме 13787,80 тыс. рублей.</w:t>
      </w:r>
    </w:p>
    <w:p w:rsidR="001B3258" w:rsidRDefault="001B3258" w:rsidP="001B3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1.3. прогнозируемый размер </w:t>
      </w:r>
      <w:proofErr w:type="gramStart"/>
      <w:r>
        <w:rPr>
          <w:sz w:val="28"/>
          <w:szCs w:val="28"/>
        </w:rPr>
        <w:t>дефицита  бюджета</w:t>
      </w:r>
      <w:proofErr w:type="gramEnd"/>
      <w:r>
        <w:rPr>
          <w:sz w:val="28"/>
          <w:szCs w:val="28"/>
        </w:rPr>
        <w:t xml:space="preserve">  муниципального 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 в сумме  0,0 тыс. рублей;</w:t>
      </w:r>
    </w:p>
    <w:p w:rsidR="001B3258" w:rsidRDefault="001B3258" w:rsidP="001B3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1.4.верхний предел муниципального внутреннего долга на 01 января 2024 года в сумме 0 тыс. рублей; в том числе верхний предел долга по муниципальным гарантиям на 1 </w:t>
      </w:r>
      <w:proofErr w:type="gramStart"/>
      <w:r>
        <w:rPr>
          <w:sz w:val="28"/>
          <w:szCs w:val="28"/>
        </w:rPr>
        <w:t>января  2026</w:t>
      </w:r>
      <w:proofErr w:type="gramEnd"/>
      <w:r>
        <w:rPr>
          <w:sz w:val="28"/>
          <w:szCs w:val="28"/>
        </w:rPr>
        <w:t xml:space="preserve"> года в сумме  0 тыс. рублей.  </w:t>
      </w:r>
    </w:p>
    <w:p w:rsidR="001B3258" w:rsidRDefault="001B3258" w:rsidP="001B3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Утвердить основные характеристики бюджета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</w:t>
      </w:r>
      <w:proofErr w:type="gramStart"/>
      <w:r>
        <w:rPr>
          <w:sz w:val="28"/>
          <w:szCs w:val="28"/>
        </w:rPr>
        <w:t xml:space="preserve">на </w:t>
      </w:r>
      <w:r w:rsidR="00531B30">
        <w:rPr>
          <w:sz w:val="28"/>
          <w:szCs w:val="28"/>
        </w:rPr>
        <w:t xml:space="preserve"> плановый</w:t>
      </w:r>
      <w:proofErr w:type="gramEnd"/>
      <w:r w:rsidR="00531B30">
        <w:rPr>
          <w:sz w:val="28"/>
          <w:szCs w:val="28"/>
        </w:rPr>
        <w:t xml:space="preserve"> период 2024 и 2025 годов</w:t>
      </w:r>
      <w:bookmarkStart w:id="0" w:name="_GoBack"/>
      <w:bookmarkEnd w:id="0"/>
      <w:r>
        <w:rPr>
          <w:sz w:val="28"/>
          <w:szCs w:val="28"/>
        </w:rPr>
        <w:t>:</w:t>
      </w:r>
    </w:p>
    <w:p w:rsidR="001B3258" w:rsidRDefault="001B3258" w:rsidP="001B3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2.1.  прогнозируемый общий объем доходов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на 2024 год в сумме 13880,80 тыс. </w:t>
      </w:r>
      <w:proofErr w:type="gramStart"/>
      <w:r>
        <w:rPr>
          <w:sz w:val="28"/>
          <w:szCs w:val="28"/>
        </w:rPr>
        <w:t>рублей,  на</w:t>
      </w:r>
      <w:proofErr w:type="gramEnd"/>
      <w:r>
        <w:rPr>
          <w:sz w:val="28"/>
          <w:szCs w:val="28"/>
        </w:rPr>
        <w:t xml:space="preserve"> 2025 год в сумме 14784,80 тыс. рублей;</w:t>
      </w:r>
    </w:p>
    <w:p w:rsidR="001B3258" w:rsidRDefault="001B3258" w:rsidP="001B3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2.2. общий объем расходов бюджета муниципального образования </w:t>
      </w:r>
      <w:proofErr w:type="spellStart"/>
      <w:r>
        <w:rPr>
          <w:sz w:val="28"/>
          <w:szCs w:val="28"/>
        </w:rPr>
        <w:t>Болдыревскийй</w:t>
      </w:r>
      <w:proofErr w:type="spellEnd"/>
      <w:r>
        <w:rPr>
          <w:sz w:val="28"/>
          <w:szCs w:val="28"/>
        </w:rPr>
        <w:t xml:space="preserve"> сельсовет на 2024 год в </w:t>
      </w:r>
      <w:proofErr w:type="gramStart"/>
      <w:r>
        <w:rPr>
          <w:sz w:val="28"/>
          <w:szCs w:val="28"/>
        </w:rPr>
        <w:t>сумме  13880</w:t>
      </w:r>
      <w:proofErr w:type="gramEnd"/>
      <w:r>
        <w:rPr>
          <w:sz w:val="28"/>
          <w:szCs w:val="28"/>
        </w:rPr>
        <w:t xml:space="preserve">,80 тыс. рублей, в том числе условно </w:t>
      </w:r>
      <w:proofErr w:type="spellStart"/>
      <w:r>
        <w:rPr>
          <w:sz w:val="28"/>
          <w:szCs w:val="28"/>
        </w:rPr>
        <w:t>утвержденные</w:t>
      </w:r>
      <w:proofErr w:type="spellEnd"/>
      <w:r>
        <w:rPr>
          <w:sz w:val="28"/>
          <w:szCs w:val="28"/>
        </w:rPr>
        <w:t xml:space="preserve"> расходы в сумме 343,7 тыс. рублей,  на 2025 год в сумме 14784,8 тыс. рублей, в том числе условно </w:t>
      </w:r>
      <w:proofErr w:type="spellStart"/>
      <w:r>
        <w:rPr>
          <w:sz w:val="28"/>
          <w:szCs w:val="28"/>
        </w:rPr>
        <w:t>утвержденные</w:t>
      </w:r>
      <w:proofErr w:type="spellEnd"/>
      <w:r>
        <w:rPr>
          <w:sz w:val="28"/>
          <w:szCs w:val="28"/>
        </w:rPr>
        <w:t xml:space="preserve"> расходы в сумме 732,3 тыс. рублей;</w:t>
      </w:r>
    </w:p>
    <w:p w:rsidR="001B3258" w:rsidRDefault="001B3258" w:rsidP="001B325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2.3. </w:t>
      </w:r>
      <w:proofErr w:type="gramStart"/>
      <w:r>
        <w:rPr>
          <w:sz w:val="28"/>
          <w:szCs w:val="28"/>
        </w:rPr>
        <w:t>прогнозируемый  дефицит</w:t>
      </w:r>
      <w:proofErr w:type="gramEnd"/>
      <w:r>
        <w:rPr>
          <w:sz w:val="28"/>
          <w:szCs w:val="28"/>
        </w:rPr>
        <w:t xml:space="preserve"> бюджета на 2024 и 2025 годы в сумме 0 тыс. рублей.</w:t>
      </w:r>
    </w:p>
    <w:p w:rsidR="001B3258" w:rsidRDefault="001B3258" w:rsidP="001B3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2.4. верхний предел муниципального внутреннего долга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сельсовета на 1 января 2025 года в </w:t>
      </w:r>
      <w:proofErr w:type="gramStart"/>
      <w:r>
        <w:rPr>
          <w:sz w:val="28"/>
          <w:szCs w:val="28"/>
        </w:rPr>
        <w:t>сумме  0</w:t>
      </w:r>
      <w:proofErr w:type="gramEnd"/>
      <w:r>
        <w:rPr>
          <w:sz w:val="28"/>
          <w:szCs w:val="28"/>
        </w:rPr>
        <w:t xml:space="preserve"> тыс. рублей, в том числе верхний предел долга по муниципальным гарантиям на 1 января  2025 года в сумме     0 тыс. рублей, верхний предел муниципального внутреннего долга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сельсовета на 1 января 2026 года в сумме  0 тыс. рублей, в том числе верхний предел долга по муниципальным гарантиям на 1 января  2026 года в сумме   0 тыс. рублей.  </w:t>
      </w:r>
    </w:p>
    <w:p w:rsidR="002C77BE" w:rsidRDefault="001B3258" w:rsidP="002C77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 </w:t>
      </w:r>
      <w:proofErr w:type="gramStart"/>
      <w:r>
        <w:rPr>
          <w:sz w:val="28"/>
          <w:szCs w:val="28"/>
        </w:rPr>
        <w:t>Учесть  нормативы</w:t>
      </w:r>
      <w:proofErr w:type="gramEnd"/>
      <w:r>
        <w:rPr>
          <w:sz w:val="28"/>
          <w:szCs w:val="28"/>
        </w:rPr>
        <w:t xml:space="preserve"> зачисления доходов в бюджет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 сельсовет на 2023 год и на плановый период 2024-2025  годов, согласно Приложению 1 к настоящему решению.</w:t>
      </w:r>
    </w:p>
    <w:p w:rsidR="002C77BE" w:rsidRPr="002C77BE" w:rsidRDefault="001B3258" w:rsidP="002C77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 </w:t>
      </w:r>
      <w:r w:rsidR="002C77BE" w:rsidRPr="002C77BE">
        <w:rPr>
          <w:sz w:val="28"/>
          <w:szCs w:val="28"/>
        </w:rPr>
        <w:t xml:space="preserve">Учесть поступление доходов в </w:t>
      </w:r>
      <w:r w:rsidR="002C77BE" w:rsidRPr="002C77BE">
        <w:rPr>
          <w:sz w:val="28"/>
          <w:szCs w:val="28"/>
          <w:shd w:val="clear" w:color="auto" w:fill="FFFFFF"/>
        </w:rPr>
        <w:t xml:space="preserve">местный бюджет по кодам видов (подвидов) </w:t>
      </w:r>
      <w:proofErr w:type="spellStart"/>
      <w:r w:rsidR="002C77BE" w:rsidRPr="002C77BE">
        <w:rPr>
          <w:sz w:val="28"/>
          <w:szCs w:val="28"/>
          <w:shd w:val="clear" w:color="auto" w:fill="FFFFFF"/>
        </w:rPr>
        <w:t>доходов</w:t>
      </w:r>
      <w:r w:rsidR="002C77BE" w:rsidRPr="002C77BE">
        <w:rPr>
          <w:sz w:val="28"/>
          <w:szCs w:val="28"/>
        </w:rPr>
        <w:t>на</w:t>
      </w:r>
      <w:proofErr w:type="spellEnd"/>
      <w:r w:rsidR="002C77BE" w:rsidRPr="002C77BE">
        <w:rPr>
          <w:sz w:val="28"/>
          <w:szCs w:val="28"/>
        </w:rPr>
        <w:t xml:space="preserve"> на 2023 год и плановый период 2024 и 2025 года согласно приложению № 2 к настоящему решению.</w:t>
      </w:r>
    </w:p>
    <w:p w:rsidR="002C77BE" w:rsidRPr="002C77BE" w:rsidRDefault="002C77BE" w:rsidP="002C77BE">
      <w:pPr>
        <w:shd w:val="clear" w:color="auto" w:fill="FFFFFF"/>
        <w:jc w:val="both"/>
        <w:rPr>
          <w:sz w:val="28"/>
          <w:szCs w:val="28"/>
        </w:rPr>
      </w:pPr>
      <w:r w:rsidRPr="002C77BE">
        <w:rPr>
          <w:sz w:val="28"/>
          <w:szCs w:val="28"/>
        </w:rPr>
        <w:t xml:space="preserve">        Установить, что: </w:t>
      </w:r>
    </w:p>
    <w:p w:rsidR="002C77BE" w:rsidRPr="002C77BE" w:rsidRDefault="002C77BE" w:rsidP="002C77BE">
      <w:pPr>
        <w:shd w:val="clear" w:color="auto" w:fill="FFFFFF"/>
        <w:jc w:val="both"/>
        <w:rPr>
          <w:sz w:val="28"/>
          <w:szCs w:val="28"/>
        </w:rPr>
      </w:pPr>
      <w:r w:rsidRPr="002C77BE">
        <w:rPr>
          <w:sz w:val="28"/>
          <w:szCs w:val="28"/>
        </w:rPr>
        <w:t xml:space="preserve">         в случае получения в течение финансового года уведомлений о предоставлении субсидий, субвенций, иных межбюджетных трансфертов, имеющих целевое назначение, уведомлений по </w:t>
      </w:r>
      <w:proofErr w:type="spellStart"/>
      <w:r w:rsidRPr="002C77BE">
        <w:rPr>
          <w:sz w:val="28"/>
          <w:szCs w:val="28"/>
        </w:rPr>
        <w:t>расчетам</w:t>
      </w:r>
      <w:proofErr w:type="spellEnd"/>
      <w:r w:rsidRPr="002C77BE">
        <w:rPr>
          <w:sz w:val="28"/>
          <w:szCs w:val="28"/>
        </w:rPr>
        <w:t xml:space="preserve"> между бюджетами на соответствующие суммы увеличиваются (уменьшаются) плановые показатели по безвозмездным поступлениям от других бюджетов бюджетной системы Российской Федерации, </w:t>
      </w:r>
      <w:proofErr w:type="spellStart"/>
      <w:r w:rsidRPr="002C77BE">
        <w:rPr>
          <w:sz w:val="28"/>
          <w:szCs w:val="28"/>
        </w:rPr>
        <w:t>утвержденные</w:t>
      </w:r>
      <w:proofErr w:type="spellEnd"/>
      <w:r w:rsidRPr="002C77BE">
        <w:rPr>
          <w:sz w:val="28"/>
          <w:szCs w:val="28"/>
        </w:rPr>
        <w:t xml:space="preserve"> настоящим решением; </w:t>
      </w:r>
    </w:p>
    <w:p w:rsidR="001B3258" w:rsidRPr="002C77BE" w:rsidRDefault="002C77BE" w:rsidP="002C77BE">
      <w:pPr>
        <w:jc w:val="both"/>
        <w:rPr>
          <w:sz w:val="28"/>
          <w:szCs w:val="28"/>
        </w:rPr>
      </w:pPr>
      <w:r w:rsidRPr="002C77BE">
        <w:rPr>
          <w:sz w:val="28"/>
          <w:szCs w:val="28"/>
        </w:rPr>
        <w:t xml:space="preserve">        увеличение (уменьшение) плановых показателей по безвозмездным поступлениям от других бюджетов бюджетной системы Российской Федерации в соответствии с абзацем вторым настоящей части подлежит утверждению </w:t>
      </w:r>
      <w:proofErr w:type="spellStart"/>
      <w:r w:rsidRPr="002C77BE">
        <w:rPr>
          <w:sz w:val="28"/>
          <w:szCs w:val="28"/>
        </w:rPr>
        <w:t>путем</w:t>
      </w:r>
      <w:proofErr w:type="spellEnd"/>
      <w:r w:rsidRPr="002C77BE">
        <w:rPr>
          <w:sz w:val="28"/>
          <w:szCs w:val="28"/>
        </w:rPr>
        <w:t xml:space="preserve"> внесения изменений в настоящее решение не позднее 30 декабря 2023 года.</w:t>
      </w:r>
    </w:p>
    <w:p w:rsidR="001B3258" w:rsidRDefault="001B3258" w:rsidP="001B3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 Утвердить распределение бюджетных ассигнований бюджета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  сельсовет на 2023 год и на плановый период 2024 и 2025 годов по разделам и подразделам расходов классификации расходов бюджетов согласно Приложению № 3 к настоящему решению.</w:t>
      </w:r>
    </w:p>
    <w:p w:rsidR="001B3258" w:rsidRDefault="001B3258" w:rsidP="001B3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 Утвердить распределение бюджетных ассигнований бюджета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на 2023 год и на плановый период 2024 и 2025 годов по разделам и подразделам, целевым статьям и видам расходов классификации расходов бюджетов, в пределах сумм, установленных п. 6 настоящего </w:t>
      </w:r>
      <w:proofErr w:type="gramStart"/>
      <w:r>
        <w:rPr>
          <w:sz w:val="28"/>
          <w:szCs w:val="28"/>
        </w:rPr>
        <w:t>решения,  согласно</w:t>
      </w:r>
      <w:proofErr w:type="gramEnd"/>
      <w:r>
        <w:rPr>
          <w:sz w:val="28"/>
          <w:szCs w:val="28"/>
        </w:rPr>
        <w:t xml:space="preserve"> Приложению № 4 к настоящему решению.</w:t>
      </w:r>
    </w:p>
    <w:p w:rsidR="001B3258" w:rsidRDefault="001B3258" w:rsidP="001B3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7. Утвердить ведомственную структуру расходов бюджета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на 2023 год и на плановый период 2024 и 2025 годов согласно Приложению № 5 к настоящему решению.</w:t>
      </w:r>
    </w:p>
    <w:p w:rsidR="001B3258" w:rsidRDefault="001B3258" w:rsidP="001B3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8. Утвердить распределение бюджетных ассигнований бюджета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по целевым статьям (муниципальным программам), группам (группам и подгруппам) видов </w:t>
      </w:r>
      <w:r>
        <w:rPr>
          <w:sz w:val="28"/>
          <w:szCs w:val="28"/>
        </w:rPr>
        <w:lastRenderedPageBreak/>
        <w:t>расходов классификации расходов бюджетов на 2023 год и плановый период 2024-2025 годов согласно Приложению № 6 к настоящему решению.</w:t>
      </w:r>
    </w:p>
    <w:p w:rsidR="001B3258" w:rsidRDefault="001B3258" w:rsidP="001B3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9. Утвердить источники внутреннего финансирования дефицита бюджета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на 2023 год и плановый период 2024 - 2025 гг. согласно Приложению № 7. </w:t>
      </w:r>
    </w:p>
    <w:p w:rsidR="001B3258" w:rsidRDefault="001B3258" w:rsidP="001B3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10.  Руководствуясь п. 4 статьи </w:t>
      </w:r>
      <w:proofErr w:type="gramStart"/>
      <w:r>
        <w:rPr>
          <w:sz w:val="28"/>
          <w:szCs w:val="28"/>
        </w:rPr>
        <w:t>15  Федерального</w:t>
      </w:r>
      <w:proofErr w:type="gramEnd"/>
      <w:r>
        <w:rPr>
          <w:sz w:val="28"/>
          <w:szCs w:val="28"/>
        </w:rPr>
        <w:t xml:space="preserve"> Закона «Об общих принципах организации местного самоуправления в Российской Федерации» от 06.10.2003 г. № 131-ФЗ, передать администрации муниципального образования </w:t>
      </w:r>
      <w:proofErr w:type="spellStart"/>
      <w:r>
        <w:rPr>
          <w:sz w:val="28"/>
          <w:szCs w:val="28"/>
        </w:rPr>
        <w:t>Ташлинский</w:t>
      </w:r>
      <w:proofErr w:type="spellEnd"/>
      <w:r>
        <w:rPr>
          <w:sz w:val="28"/>
          <w:szCs w:val="28"/>
        </w:rPr>
        <w:t xml:space="preserve"> район Оренбургской области:  </w:t>
      </w:r>
    </w:p>
    <w:p w:rsidR="001B3258" w:rsidRDefault="001B3258" w:rsidP="001B3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полномочия по созданию условий для организации досуга и обеспечения жителей поселения услугами организаций культуры и организации библиотечного обслуживания населения с передачей межбюджетных трансфертов на их исполнение в 2023 году в сумме   3217,9 тыс. </w:t>
      </w:r>
      <w:proofErr w:type="gramStart"/>
      <w:r>
        <w:rPr>
          <w:sz w:val="28"/>
          <w:szCs w:val="28"/>
        </w:rPr>
        <w:t>рублей,  в</w:t>
      </w:r>
      <w:proofErr w:type="gramEnd"/>
      <w:r>
        <w:rPr>
          <w:sz w:val="28"/>
          <w:szCs w:val="28"/>
        </w:rPr>
        <w:t xml:space="preserve"> 2024 году в сумме 3217,9 тыс. рублей, в 2025 году в сумме  3217,9 тыс. рублей;  </w:t>
      </w:r>
    </w:p>
    <w:p w:rsidR="001B3258" w:rsidRDefault="001B3258" w:rsidP="001B3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-полномочия по осуществлению внешнего муниципального финансового </w:t>
      </w:r>
      <w:proofErr w:type="gramStart"/>
      <w:r>
        <w:rPr>
          <w:sz w:val="28"/>
          <w:szCs w:val="28"/>
        </w:rPr>
        <w:t>контроля  с</w:t>
      </w:r>
      <w:proofErr w:type="gramEnd"/>
      <w:r>
        <w:rPr>
          <w:sz w:val="28"/>
          <w:szCs w:val="28"/>
        </w:rPr>
        <w:t xml:space="preserve"> передачей межбюджетных трансфертов  на их исполнение в сумме по 36,9 тыс. рублей ежегодно; </w:t>
      </w:r>
    </w:p>
    <w:p w:rsidR="001B3258" w:rsidRDefault="001B3258" w:rsidP="001B3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полномочия по осуществлению внутреннего муниципального финансового </w:t>
      </w:r>
      <w:proofErr w:type="gramStart"/>
      <w:r>
        <w:rPr>
          <w:sz w:val="28"/>
          <w:szCs w:val="28"/>
        </w:rPr>
        <w:t>контроля  с</w:t>
      </w:r>
      <w:proofErr w:type="gramEnd"/>
      <w:r>
        <w:rPr>
          <w:sz w:val="28"/>
          <w:szCs w:val="28"/>
        </w:rPr>
        <w:t xml:space="preserve"> передачей межбюджетных трансфертов  на их исполнение в 2023 году в сумме  32,4 тыс. рублей, в 2024 году – 32,4 тыс. рублей, в 2025 году – 32,4 тыс. рублей;</w:t>
      </w:r>
    </w:p>
    <w:p w:rsidR="001B3258" w:rsidRDefault="001B3258" w:rsidP="001B3258">
      <w:pPr>
        <w:jc w:val="both"/>
        <w:rPr>
          <w:sz w:val="28"/>
          <w:szCs w:val="28"/>
        </w:rPr>
      </w:pPr>
      <w:r>
        <w:rPr>
          <w:sz w:val="28"/>
          <w:szCs w:val="28"/>
        </w:rPr>
        <w:t>-  полномочия по резервированию и изъятию земельных участков, выдачи разрешений на строительство и ввод объектов в эксплуатацию - в сумме по 3,0 тыс. рублей ежегодно;</w:t>
      </w:r>
    </w:p>
    <w:p w:rsidR="001B3258" w:rsidRDefault="001B3258" w:rsidP="001B3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11. Бюджетные ассигнования на исполнение публично-нормативных обязательств не планировать.</w:t>
      </w:r>
    </w:p>
    <w:p w:rsidR="001B3258" w:rsidRDefault="001B3258" w:rsidP="001B3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12. Муниципальные заимствования в бюджет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</w:t>
      </w:r>
      <w:proofErr w:type="gramStart"/>
      <w:r>
        <w:rPr>
          <w:sz w:val="28"/>
          <w:szCs w:val="28"/>
        </w:rPr>
        <w:t>в  2023</w:t>
      </w:r>
      <w:proofErr w:type="gramEnd"/>
      <w:r>
        <w:rPr>
          <w:sz w:val="28"/>
          <w:szCs w:val="28"/>
        </w:rPr>
        <w:t xml:space="preserve"> году и в плановый период 2024 и 2025 годов не осуществлять, программу муниципальных заимствований не утверждать. </w:t>
      </w:r>
    </w:p>
    <w:p w:rsidR="001B3258" w:rsidRDefault="001B3258" w:rsidP="001B3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13.  Выдачу гарантий предприятиям и организациям, расположенным на территории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в 2023 году и плановом периоде 2024 и 2025 годов не осуществлять, программу муниципальных гарантий не утверждать.</w:t>
      </w:r>
    </w:p>
    <w:p w:rsidR="001B3258" w:rsidRDefault="001B3258" w:rsidP="001B3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14.  </w:t>
      </w:r>
      <w:proofErr w:type="gramStart"/>
      <w:r>
        <w:rPr>
          <w:sz w:val="28"/>
          <w:szCs w:val="28"/>
        </w:rPr>
        <w:t>Расходы  на</w:t>
      </w:r>
      <w:proofErr w:type="gramEnd"/>
      <w:r>
        <w:rPr>
          <w:sz w:val="28"/>
          <w:szCs w:val="28"/>
        </w:rPr>
        <w:t xml:space="preserve"> обслуживание муниципального долга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на 2023 год и плановый период 2024 и 2025 годов в бюджете поселения не предусматривать.</w:t>
      </w:r>
    </w:p>
    <w:p w:rsidR="001B3258" w:rsidRDefault="001B3258" w:rsidP="001B3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15. </w:t>
      </w:r>
      <w:proofErr w:type="gramStart"/>
      <w:r>
        <w:rPr>
          <w:sz w:val="28"/>
          <w:szCs w:val="28"/>
        </w:rPr>
        <w:t>Установить  предельный</w:t>
      </w:r>
      <w:proofErr w:type="gramEnd"/>
      <w:r>
        <w:rPr>
          <w:sz w:val="28"/>
          <w:szCs w:val="28"/>
        </w:rPr>
        <w:t xml:space="preserve"> объем муниципального долга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на 2023 год в сумме 0,0 тыс. рублей, на 2024 год - в сумме 0,0 тыс. рублей, на 2025 год - в сумме 0,0 тыс. рублей, </w:t>
      </w:r>
    </w:p>
    <w:p w:rsidR="001B3258" w:rsidRDefault="001B3258" w:rsidP="001B3258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16. Установить, что неиспользованные по состоянию на 1 января 2023 года остатки межбюджетных трансфертов, предоставленных из </w:t>
      </w:r>
      <w:proofErr w:type="gramStart"/>
      <w:r>
        <w:rPr>
          <w:sz w:val="28"/>
          <w:szCs w:val="28"/>
        </w:rPr>
        <w:t>районного  и</w:t>
      </w:r>
      <w:proofErr w:type="gramEnd"/>
      <w:r>
        <w:rPr>
          <w:sz w:val="28"/>
          <w:szCs w:val="28"/>
        </w:rPr>
        <w:t xml:space="preserve"> областного бюджетов бюджету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 сельсовет в виде субвенций, субсидий, иных межбюджетных трансфертов, имеющих целевое назначение, подлежат возврату в течении первых 10 </w:t>
      </w:r>
      <w:r>
        <w:rPr>
          <w:sz w:val="28"/>
          <w:szCs w:val="28"/>
        </w:rPr>
        <w:lastRenderedPageBreak/>
        <w:t>рабочих дней 2023 года в бюджет, из которого соответствующий межбюджетный трансферт был предоставлен.</w:t>
      </w:r>
    </w:p>
    <w:p w:rsidR="001B3258" w:rsidRDefault="001B3258" w:rsidP="001B3258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17.Утвердить </w:t>
      </w:r>
      <w:proofErr w:type="gramStart"/>
      <w:r>
        <w:rPr>
          <w:sz w:val="28"/>
          <w:szCs w:val="28"/>
        </w:rPr>
        <w:t>объем  дорожного</w:t>
      </w:r>
      <w:proofErr w:type="gramEnd"/>
      <w:r>
        <w:rPr>
          <w:sz w:val="28"/>
          <w:szCs w:val="28"/>
        </w:rPr>
        <w:t xml:space="preserve"> фонда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 на  2023 год в сумме – 509,9 тыс. рублей, на 2024 год в сумме –  536,2  тыс. рублей,  на  2025 год в сумме  –  561,2 тыс. рублей.</w:t>
      </w:r>
    </w:p>
    <w:p w:rsidR="002C77BE" w:rsidRDefault="001B3258" w:rsidP="001B3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18. Настоящее решение вступает в силу после его официального опубликования, но не ранее 1 января 2023 года.</w:t>
      </w:r>
    </w:p>
    <w:p w:rsidR="002C77BE" w:rsidRDefault="002C77BE" w:rsidP="001B3258">
      <w:pPr>
        <w:jc w:val="both"/>
        <w:rPr>
          <w:sz w:val="28"/>
          <w:szCs w:val="28"/>
        </w:rPr>
      </w:pPr>
    </w:p>
    <w:p w:rsidR="002C77BE" w:rsidRDefault="002C77BE" w:rsidP="001B3258">
      <w:pPr>
        <w:jc w:val="both"/>
        <w:rPr>
          <w:sz w:val="28"/>
          <w:szCs w:val="28"/>
        </w:rPr>
      </w:pPr>
    </w:p>
    <w:p w:rsidR="002C77BE" w:rsidRDefault="002C77BE" w:rsidP="001B3258">
      <w:pPr>
        <w:jc w:val="both"/>
        <w:rPr>
          <w:sz w:val="28"/>
          <w:szCs w:val="28"/>
        </w:rPr>
      </w:pPr>
    </w:p>
    <w:p w:rsidR="002C77BE" w:rsidRDefault="001B3258" w:rsidP="001B3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B3258" w:rsidRDefault="002C77BE" w:rsidP="001B3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       </w:t>
      </w:r>
      <w:proofErr w:type="spellStart"/>
      <w:r>
        <w:rPr>
          <w:sz w:val="28"/>
          <w:szCs w:val="28"/>
        </w:rPr>
        <w:t>Т.Н.Бондарь</w:t>
      </w:r>
      <w:proofErr w:type="spellEnd"/>
      <w:r w:rsidR="001B3258">
        <w:rPr>
          <w:sz w:val="28"/>
          <w:szCs w:val="28"/>
        </w:rPr>
        <w:t xml:space="preserve"> </w:t>
      </w:r>
    </w:p>
    <w:p w:rsidR="001B3258" w:rsidRDefault="001B3258" w:rsidP="001B3258">
      <w:pPr>
        <w:jc w:val="both"/>
        <w:rPr>
          <w:sz w:val="28"/>
          <w:szCs w:val="28"/>
        </w:rPr>
      </w:pPr>
    </w:p>
    <w:p w:rsidR="001B3258" w:rsidRDefault="001B3258" w:rsidP="001B3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  </w:t>
      </w:r>
      <w:proofErr w:type="spellStart"/>
      <w:r>
        <w:rPr>
          <w:sz w:val="28"/>
          <w:szCs w:val="28"/>
        </w:rPr>
        <w:t>Н.В.Широкова</w:t>
      </w:r>
      <w:proofErr w:type="spellEnd"/>
    </w:p>
    <w:p w:rsidR="002C77BE" w:rsidRDefault="002C77BE" w:rsidP="001B3258">
      <w:pPr>
        <w:jc w:val="both"/>
        <w:rPr>
          <w:sz w:val="28"/>
          <w:szCs w:val="28"/>
        </w:rPr>
      </w:pPr>
    </w:p>
    <w:p w:rsidR="002C77BE" w:rsidRDefault="002C77BE" w:rsidP="001B3258">
      <w:pPr>
        <w:jc w:val="both"/>
        <w:rPr>
          <w:sz w:val="28"/>
          <w:szCs w:val="28"/>
        </w:rPr>
      </w:pPr>
    </w:p>
    <w:p w:rsidR="002C77BE" w:rsidRDefault="002C77BE" w:rsidP="001B3258">
      <w:pPr>
        <w:jc w:val="both"/>
        <w:rPr>
          <w:sz w:val="28"/>
          <w:szCs w:val="28"/>
        </w:rPr>
      </w:pPr>
    </w:p>
    <w:p w:rsidR="002C77BE" w:rsidRDefault="002C77BE" w:rsidP="001B3258">
      <w:pPr>
        <w:jc w:val="both"/>
        <w:rPr>
          <w:sz w:val="28"/>
          <w:szCs w:val="28"/>
        </w:rPr>
      </w:pPr>
    </w:p>
    <w:p w:rsidR="002C77BE" w:rsidRDefault="002C77BE" w:rsidP="001B3258">
      <w:pPr>
        <w:jc w:val="both"/>
        <w:rPr>
          <w:sz w:val="28"/>
          <w:szCs w:val="28"/>
        </w:rPr>
      </w:pPr>
    </w:p>
    <w:p w:rsidR="002C77BE" w:rsidRDefault="002C77BE" w:rsidP="001B3258">
      <w:pPr>
        <w:jc w:val="both"/>
        <w:rPr>
          <w:sz w:val="28"/>
          <w:szCs w:val="28"/>
        </w:rPr>
      </w:pPr>
    </w:p>
    <w:p w:rsidR="002C77BE" w:rsidRDefault="002C77BE" w:rsidP="001B3258">
      <w:pPr>
        <w:jc w:val="both"/>
        <w:rPr>
          <w:sz w:val="28"/>
          <w:szCs w:val="28"/>
        </w:rPr>
      </w:pPr>
    </w:p>
    <w:p w:rsidR="002C77BE" w:rsidRDefault="002C77BE" w:rsidP="001B3258">
      <w:pPr>
        <w:jc w:val="both"/>
        <w:rPr>
          <w:sz w:val="28"/>
          <w:szCs w:val="28"/>
        </w:rPr>
      </w:pPr>
    </w:p>
    <w:p w:rsidR="002C77BE" w:rsidRPr="00995795" w:rsidRDefault="002C77BE" w:rsidP="001B3258">
      <w:pPr>
        <w:jc w:val="both"/>
        <w:rPr>
          <w:sz w:val="28"/>
          <w:szCs w:val="28"/>
        </w:rPr>
      </w:pPr>
    </w:p>
    <w:p w:rsidR="001B3258" w:rsidRDefault="001B3258" w:rsidP="001B3258">
      <w:pPr>
        <w:jc w:val="both"/>
        <w:rPr>
          <w:sz w:val="20"/>
          <w:szCs w:val="20"/>
        </w:rPr>
      </w:pPr>
    </w:p>
    <w:p w:rsidR="001B3258" w:rsidRDefault="001B3258" w:rsidP="001B3258">
      <w:pPr>
        <w:jc w:val="both"/>
        <w:rPr>
          <w:sz w:val="20"/>
          <w:szCs w:val="20"/>
        </w:rPr>
      </w:pPr>
    </w:p>
    <w:p w:rsidR="001B3258" w:rsidRDefault="001B3258" w:rsidP="001B325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Разослано: администрации района, прокурору района, УФК по Оренбургской области, финансовому отделу </w:t>
      </w:r>
      <w:proofErr w:type="spellStart"/>
      <w:r>
        <w:rPr>
          <w:sz w:val="20"/>
          <w:szCs w:val="20"/>
        </w:rPr>
        <w:t>Ташлинского</w:t>
      </w:r>
      <w:proofErr w:type="spellEnd"/>
      <w:r>
        <w:rPr>
          <w:sz w:val="20"/>
          <w:szCs w:val="20"/>
        </w:rPr>
        <w:t xml:space="preserve"> района, редакции газеты «Маяк»    </w:t>
      </w:r>
    </w:p>
    <w:p w:rsidR="001B3258" w:rsidRDefault="001B3258" w:rsidP="001B3258">
      <w:pPr>
        <w:tabs>
          <w:tab w:val="left" w:pos="375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1B3258" w:rsidRDefault="001B3258" w:rsidP="001B3258">
      <w:pPr>
        <w:jc w:val="both"/>
        <w:rPr>
          <w:sz w:val="20"/>
          <w:szCs w:val="20"/>
        </w:rPr>
      </w:pPr>
    </w:p>
    <w:p w:rsidR="001B3258" w:rsidRDefault="001B3258" w:rsidP="001B3258">
      <w:pPr>
        <w:jc w:val="both"/>
        <w:rPr>
          <w:sz w:val="28"/>
          <w:szCs w:val="28"/>
        </w:rPr>
      </w:pPr>
    </w:p>
    <w:p w:rsidR="001B3258" w:rsidRDefault="001B3258" w:rsidP="001B3258">
      <w:pPr>
        <w:jc w:val="both"/>
        <w:rPr>
          <w:sz w:val="28"/>
          <w:szCs w:val="28"/>
        </w:rPr>
      </w:pPr>
    </w:p>
    <w:p w:rsidR="001B3258" w:rsidRDefault="001B3258" w:rsidP="001B3258">
      <w:pPr>
        <w:jc w:val="both"/>
        <w:rPr>
          <w:sz w:val="28"/>
          <w:szCs w:val="28"/>
        </w:rPr>
      </w:pPr>
    </w:p>
    <w:p w:rsidR="001B3258" w:rsidRDefault="001B3258" w:rsidP="001B3258">
      <w:pPr>
        <w:jc w:val="both"/>
        <w:rPr>
          <w:sz w:val="28"/>
          <w:szCs w:val="28"/>
        </w:rPr>
      </w:pPr>
    </w:p>
    <w:p w:rsidR="001B3258" w:rsidRDefault="001B3258" w:rsidP="001B3258">
      <w:pPr>
        <w:jc w:val="both"/>
        <w:rPr>
          <w:sz w:val="28"/>
          <w:szCs w:val="28"/>
        </w:rPr>
      </w:pPr>
    </w:p>
    <w:p w:rsidR="001B3258" w:rsidRDefault="001B3258" w:rsidP="001B3258">
      <w:pPr>
        <w:jc w:val="both"/>
        <w:rPr>
          <w:sz w:val="28"/>
          <w:szCs w:val="28"/>
        </w:rPr>
      </w:pPr>
    </w:p>
    <w:p w:rsidR="001B3258" w:rsidRDefault="001B3258" w:rsidP="001B3258">
      <w:pPr>
        <w:jc w:val="both"/>
        <w:rPr>
          <w:sz w:val="28"/>
          <w:szCs w:val="28"/>
        </w:rPr>
      </w:pPr>
    </w:p>
    <w:p w:rsidR="001B3258" w:rsidRDefault="001B3258" w:rsidP="001B325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B3258" w:rsidRDefault="001B3258" w:rsidP="001B3258">
      <w:pPr>
        <w:rPr>
          <w:sz w:val="28"/>
          <w:szCs w:val="28"/>
        </w:rPr>
      </w:pPr>
    </w:p>
    <w:p w:rsidR="00AC4FDA" w:rsidRDefault="00AC4FDA"/>
    <w:sectPr w:rsidR="00AC4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E8"/>
    <w:rsid w:val="001B3258"/>
    <w:rsid w:val="002C77BE"/>
    <w:rsid w:val="00531B30"/>
    <w:rsid w:val="00AC4FDA"/>
    <w:rsid w:val="00DC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33AD6-88CC-4A72-9A67-1E167430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2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1B3258"/>
    <w:pPr>
      <w:widowControl w:val="0"/>
      <w:suppressAutoHyphens/>
      <w:snapToGri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3">
    <w:name w:val="Содержимое таблицы"/>
    <w:basedOn w:val="a"/>
    <w:rsid w:val="001B3258"/>
    <w:pPr>
      <w:widowControl w:val="0"/>
      <w:suppressLineNumbers/>
    </w:pPr>
    <w:rPr>
      <w:rFonts w:eastAsia="Arial Unicode MS"/>
      <w:kern w:val="1"/>
    </w:rPr>
  </w:style>
  <w:style w:type="paragraph" w:customStyle="1" w:styleId="a4">
    <w:name w:val="Заголовок таблицы"/>
    <w:basedOn w:val="a3"/>
    <w:rsid w:val="001B325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2022-12-13T09:44:00Z</dcterms:created>
  <dcterms:modified xsi:type="dcterms:W3CDTF">2022-12-15T07:01:00Z</dcterms:modified>
</cp:coreProperties>
</file>